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25" w:rsidRDefault="00AB7725" w:rsidP="00AB7725">
      <w:bookmarkStart w:id="0" w:name="_GoBack"/>
      <w:bookmarkEnd w:id="0"/>
      <w:r>
        <w:rPr>
          <w:noProof/>
        </w:rPr>
        <w:drawing>
          <wp:inline distT="0" distB="0" distL="0" distR="0" wp14:anchorId="7699F099" wp14:editId="0AB0243B">
            <wp:extent cx="2181225" cy="72974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IL Bologn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069" cy="73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725" w:rsidRDefault="00AB7725" w:rsidP="001658CE">
      <w:pPr>
        <w:rPr>
          <w:rFonts w:ascii="Tahoma" w:hAnsi="Tahoma" w:cs="Tahoma"/>
          <w:b/>
          <w:snapToGrid w:val="0"/>
          <w:color w:val="FF0000"/>
          <w:sz w:val="36"/>
          <w:szCs w:val="36"/>
          <w:lang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5238F" wp14:editId="216216FE">
                <wp:simplePos x="0" y="0"/>
                <wp:positionH relativeFrom="column">
                  <wp:posOffset>-291465</wp:posOffset>
                </wp:positionH>
                <wp:positionV relativeFrom="paragraph">
                  <wp:posOffset>62230</wp:posOffset>
                </wp:positionV>
                <wp:extent cx="6667500" cy="1838325"/>
                <wp:effectExtent l="38100" t="38100" r="304800" b="352425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8383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AB7725" w:rsidRPr="00ED50A4" w:rsidRDefault="00AB7725" w:rsidP="00AB7725">
                            <w:pPr>
                              <w:jc w:val="center"/>
                              <w:rPr>
                                <w:rFonts w:ascii="Lucida Calligraphy" w:hAnsi="Lucida Calligraphy"/>
                                <w:sz w:val="40"/>
                                <w:szCs w:val="40"/>
                              </w:rPr>
                            </w:pPr>
                            <w:r w:rsidRPr="00ED50A4">
                              <w:rPr>
                                <w:rFonts w:ascii="Lucida Calligraphy" w:hAnsi="Lucida Calligraphy"/>
                                <w:sz w:val="40"/>
                                <w:szCs w:val="40"/>
                              </w:rPr>
                              <w:t>Ricostruzione di Carriera</w:t>
                            </w:r>
                          </w:p>
                          <w:p w:rsidR="00AB7725" w:rsidRPr="00ED50A4" w:rsidRDefault="00AB7725" w:rsidP="00AB7725">
                            <w:pPr>
                              <w:jc w:val="center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ED50A4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La Corte di Cassazione </w:t>
                            </w:r>
                            <w:proofErr w:type="gramStart"/>
                            <w:r w:rsidRPr="00ED50A4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dichiara  la</w:t>
                            </w:r>
                            <w:proofErr w:type="gramEnd"/>
                            <w:r w:rsidRPr="00ED50A4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 non conformità dell’art.485 d.lgs. 297/94</w:t>
                            </w:r>
                            <w:r w:rsidRPr="00ED50A4">
                              <w:rPr>
                                <w:rFonts w:ascii="Lucida Calligraphy" w:hAnsi="Lucida Calligraphy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ED50A4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in quanto viola la clausola 4 dell’accordo quadro sul</w:t>
                            </w:r>
                            <w:r w:rsidRPr="00ED50A4">
                              <w:rPr>
                                <w:rFonts w:ascii="Lucida Calligraphy" w:hAnsi="Lucida Calligraphy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D50A4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lavoro a tempo determinato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F5238F" id="Ovale 6" o:spid="_x0000_s1026" style="position:absolute;margin-left:-22.95pt;margin-top:4.9pt;width:52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" fillcolor="#4f81bd" stroked="f" strokeweight="2pt">
                <v:shadow on="t" color="black" opacity="19660f" offset="4.49014mm,4.49014mm"/>
                <v:textbox>
                  <w:txbxContent>
                    <w:p w:rsidR="00AB7725" w:rsidRPr="00ED50A4" w:rsidRDefault="00AB7725" w:rsidP="00AB7725">
                      <w:pPr>
                        <w:jc w:val="center"/>
                        <w:rPr>
                          <w:rFonts w:ascii="Lucida Calligraphy" w:hAnsi="Lucida Calligraphy"/>
                          <w:sz w:val="40"/>
                          <w:szCs w:val="40"/>
                        </w:rPr>
                      </w:pPr>
                      <w:r w:rsidRPr="00ED50A4">
                        <w:rPr>
                          <w:rFonts w:ascii="Lucida Calligraphy" w:hAnsi="Lucida Calligraphy"/>
                          <w:sz w:val="40"/>
                          <w:szCs w:val="40"/>
                        </w:rPr>
                        <w:t>Ricostruzione di Carriera</w:t>
                      </w:r>
                    </w:p>
                    <w:p w:rsidR="00AB7725" w:rsidRPr="00ED50A4" w:rsidRDefault="00AB7725" w:rsidP="00AB7725">
                      <w:pPr>
                        <w:jc w:val="center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ED50A4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La Corte di Cassazione </w:t>
                      </w:r>
                      <w:proofErr w:type="gramStart"/>
                      <w:r w:rsidRPr="00ED50A4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dichiara  la</w:t>
                      </w:r>
                      <w:proofErr w:type="gramEnd"/>
                      <w:r w:rsidRPr="00ED50A4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 non conformità dell’art.485 d.lgs. 297/94</w:t>
                      </w:r>
                      <w:r w:rsidRPr="00ED50A4">
                        <w:rPr>
                          <w:rFonts w:ascii="Lucida Calligraphy" w:hAnsi="Lucida Calligraphy"/>
                          <w:sz w:val="40"/>
                          <w:szCs w:val="40"/>
                        </w:rPr>
                        <w:t xml:space="preserve">  </w:t>
                      </w:r>
                      <w:r w:rsidRPr="00ED50A4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in quanto viola la clausola 4 dell’accordo quadro sul</w:t>
                      </w:r>
                      <w:r w:rsidRPr="00ED50A4">
                        <w:rPr>
                          <w:rFonts w:ascii="Lucida Calligraphy" w:hAnsi="Lucida Calligraphy"/>
                          <w:sz w:val="40"/>
                          <w:szCs w:val="40"/>
                        </w:rPr>
                        <w:t xml:space="preserve"> </w:t>
                      </w:r>
                      <w:r w:rsidRPr="00ED50A4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lavoro a tempo determinato</w:t>
                      </w:r>
                    </w:p>
                  </w:txbxContent>
                </v:textbox>
              </v:oval>
            </w:pict>
          </mc:Fallback>
        </mc:AlternateContent>
      </w:r>
    </w:p>
    <w:p w:rsidR="00AB7725" w:rsidRDefault="00AB7725" w:rsidP="00AB7725">
      <w:pPr>
        <w:keepNext/>
        <w:shd w:val="clear" w:color="auto" w:fill="FFFFFF"/>
        <w:ind w:right="240"/>
        <w:jc w:val="center"/>
        <w:outlineLvl w:val="1"/>
        <w:rPr>
          <w:rFonts w:ascii="Tahoma" w:hAnsi="Tahoma" w:cs="Tahoma"/>
          <w:b/>
          <w:snapToGrid w:val="0"/>
          <w:color w:val="FF0000"/>
          <w:sz w:val="36"/>
          <w:szCs w:val="36"/>
          <w:lang w:eastAsia="x-none"/>
        </w:rPr>
      </w:pPr>
    </w:p>
    <w:p w:rsidR="00AB7725" w:rsidRDefault="00AB7725" w:rsidP="00AB7725">
      <w:pPr>
        <w:keepNext/>
        <w:shd w:val="clear" w:color="auto" w:fill="FFFFFF"/>
        <w:ind w:right="240"/>
        <w:jc w:val="center"/>
        <w:outlineLvl w:val="1"/>
        <w:rPr>
          <w:rFonts w:ascii="Tahoma" w:hAnsi="Tahoma" w:cs="Tahoma"/>
          <w:b/>
          <w:snapToGrid w:val="0"/>
          <w:color w:val="FF0000"/>
          <w:sz w:val="36"/>
          <w:szCs w:val="36"/>
          <w:lang w:eastAsia="x-none"/>
        </w:rPr>
      </w:pPr>
    </w:p>
    <w:p w:rsidR="00AB7725" w:rsidRDefault="00AB7725" w:rsidP="00AB7725">
      <w:pPr>
        <w:keepNext/>
        <w:shd w:val="clear" w:color="auto" w:fill="FFFFFF"/>
        <w:ind w:right="240"/>
        <w:jc w:val="center"/>
        <w:outlineLvl w:val="1"/>
        <w:rPr>
          <w:rFonts w:ascii="Tahoma" w:hAnsi="Tahoma" w:cs="Tahoma"/>
          <w:b/>
          <w:snapToGrid w:val="0"/>
          <w:color w:val="FF0000"/>
          <w:sz w:val="36"/>
          <w:szCs w:val="36"/>
          <w:lang w:eastAsia="x-none"/>
        </w:rPr>
      </w:pPr>
    </w:p>
    <w:p w:rsidR="00AB7725" w:rsidRDefault="00AB7725" w:rsidP="00AB7725">
      <w:pPr>
        <w:keepNext/>
        <w:shd w:val="clear" w:color="auto" w:fill="FFFFFF"/>
        <w:ind w:right="240"/>
        <w:jc w:val="center"/>
        <w:outlineLvl w:val="1"/>
        <w:rPr>
          <w:rFonts w:ascii="Tahoma" w:hAnsi="Tahoma" w:cs="Tahoma"/>
          <w:b/>
          <w:snapToGrid w:val="0"/>
          <w:color w:val="FF0000"/>
          <w:sz w:val="36"/>
          <w:szCs w:val="36"/>
          <w:lang w:eastAsia="x-none"/>
        </w:rPr>
      </w:pPr>
    </w:p>
    <w:p w:rsidR="00AB7725" w:rsidRDefault="00AB7725" w:rsidP="00AB7725">
      <w:pPr>
        <w:keepNext/>
        <w:shd w:val="clear" w:color="auto" w:fill="FFFFFF"/>
        <w:ind w:right="240"/>
        <w:jc w:val="center"/>
        <w:outlineLvl w:val="1"/>
        <w:rPr>
          <w:rFonts w:ascii="Tahoma" w:hAnsi="Tahoma" w:cs="Tahoma"/>
          <w:b/>
          <w:snapToGrid w:val="0"/>
          <w:color w:val="FF0000"/>
          <w:sz w:val="36"/>
          <w:szCs w:val="36"/>
          <w:lang w:eastAsia="x-none"/>
        </w:rPr>
      </w:pPr>
    </w:p>
    <w:p w:rsidR="00AB7725" w:rsidRDefault="00AB7725" w:rsidP="00AB7725">
      <w:pPr>
        <w:keepNext/>
        <w:shd w:val="clear" w:color="auto" w:fill="FFFFFF"/>
        <w:ind w:right="240"/>
        <w:jc w:val="center"/>
        <w:outlineLvl w:val="1"/>
        <w:rPr>
          <w:rFonts w:ascii="Tahoma" w:hAnsi="Tahoma" w:cs="Tahoma"/>
          <w:b/>
          <w:snapToGrid w:val="0"/>
          <w:color w:val="FF0000"/>
          <w:sz w:val="36"/>
          <w:szCs w:val="36"/>
          <w:lang w:eastAsia="x-none"/>
        </w:rPr>
      </w:pPr>
    </w:p>
    <w:p w:rsidR="00AB7725" w:rsidRPr="00DC6F0C" w:rsidRDefault="00AB7725" w:rsidP="00AB7725">
      <w:pPr>
        <w:rPr>
          <w:lang w:eastAsia="x-none"/>
        </w:rPr>
      </w:pPr>
    </w:p>
    <w:p w:rsidR="00AB7725" w:rsidRPr="001658CE" w:rsidRDefault="00AB7725" w:rsidP="00AB7725">
      <w:pPr>
        <w:autoSpaceDE w:val="0"/>
        <w:autoSpaceDN w:val="0"/>
        <w:adjustRightInd w:val="0"/>
        <w:jc w:val="both"/>
        <w:rPr>
          <w:rFonts w:ascii="CalifornianFB" w:hAnsi="CalifornianFB" w:cs="CalifornianFB"/>
          <w:color w:val="474747"/>
        </w:rPr>
      </w:pPr>
      <w:r w:rsidRPr="001658CE">
        <w:rPr>
          <w:rFonts w:ascii="CalifornianFB" w:hAnsi="CalifornianFB" w:cs="CalifornianFB"/>
          <w:color w:val="474747"/>
        </w:rPr>
        <w:t xml:space="preserve">Con sentenza pubblicata in data 28.11.2019 </w:t>
      </w:r>
      <w:r w:rsidRPr="001658CE">
        <w:rPr>
          <w:rFonts w:ascii="CalifornianFB" w:hAnsi="CalifornianFB" w:cs="CalifornianFB"/>
          <w:b/>
          <w:color w:val="474747"/>
        </w:rPr>
        <w:t>la Corte di Cassazione</w:t>
      </w:r>
      <w:r w:rsidRPr="001658CE">
        <w:rPr>
          <w:rFonts w:ascii="CalifornianFB" w:hAnsi="CalifornianFB" w:cs="CalifornianFB"/>
          <w:color w:val="474747"/>
        </w:rPr>
        <w:t xml:space="preserve"> si è pronunciata in merito alla questione relativa alla ricostruzione di carriera del personale scolastico e, in particolare, alla legittimità della normativa interna contenuta nel d.lgs.297/94 – Testo Unico in materia di Istruzione – alla luce del principio comunitario di non discriminazione di cui alla clausola 4 dell’accordo quadro sul lavoro a tempo determinato allegato alla direttiva 1999/70/CE. </w:t>
      </w:r>
    </w:p>
    <w:p w:rsidR="00AB7725" w:rsidRPr="001658CE" w:rsidRDefault="00AB7725" w:rsidP="00AB7725">
      <w:pPr>
        <w:autoSpaceDE w:val="0"/>
        <w:autoSpaceDN w:val="0"/>
        <w:adjustRightInd w:val="0"/>
        <w:jc w:val="both"/>
        <w:rPr>
          <w:rFonts w:ascii="CalifornianFB" w:hAnsi="CalifornianFB" w:cs="CalifornianFB"/>
          <w:color w:val="474747"/>
          <w:sz w:val="16"/>
          <w:szCs w:val="16"/>
        </w:rPr>
      </w:pPr>
    </w:p>
    <w:p w:rsidR="00AB7725" w:rsidRPr="001658CE" w:rsidRDefault="00AB7725" w:rsidP="00AB7725">
      <w:pPr>
        <w:autoSpaceDE w:val="0"/>
        <w:autoSpaceDN w:val="0"/>
        <w:adjustRightInd w:val="0"/>
        <w:jc w:val="both"/>
        <w:rPr>
          <w:rFonts w:ascii="CalifornianFB" w:hAnsi="CalifornianFB" w:cs="CalifornianFB"/>
          <w:color w:val="474747"/>
        </w:rPr>
      </w:pPr>
      <w:r w:rsidRPr="001658CE">
        <w:rPr>
          <w:rFonts w:ascii="CalifornianFB" w:hAnsi="CalifornianFB" w:cs="CalifornianFB"/>
          <w:color w:val="474747"/>
        </w:rPr>
        <w:t xml:space="preserve">La Cassazione, accogliendo anche le motivazioni proposte con atto di intervento dal sindacato UIL Scuola, ha eliminato i dubbi che si erano venuti a creare a seguito della pubblicazione della sentenza </w:t>
      </w:r>
      <w:proofErr w:type="spellStart"/>
      <w:r w:rsidRPr="001658CE">
        <w:rPr>
          <w:rFonts w:ascii="CalifornianFB" w:hAnsi="CalifornianFB" w:cs="CalifornianFB"/>
          <w:color w:val="474747"/>
        </w:rPr>
        <w:t>Motter</w:t>
      </w:r>
      <w:proofErr w:type="spellEnd"/>
      <w:r w:rsidRPr="001658CE">
        <w:rPr>
          <w:rFonts w:ascii="CalifornianFB" w:hAnsi="CalifornianFB" w:cs="CalifornianFB"/>
          <w:color w:val="474747"/>
        </w:rPr>
        <w:t xml:space="preserve"> della Corte di Giustizia in data 20.09.2018. </w:t>
      </w:r>
    </w:p>
    <w:p w:rsidR="00AB7725" w:rsidRPr="001658CE" w:rsidRDefault="00AB7725" w:rsidP="00AB7725">
      <w:pPr>
        <w:autoSpaceDE w:val="0"/>
        <w:autoSpaceDN w:val="0"/>
        <w:adjustRightInd w:val="0"/>
        <w:jc w:val="both"/>
        <w:rPr>
          <w:rFonts w:ascii="CalifornianFB" w:hAnsi="CalifornianFB" w:cs="CalifornianFB"/>
          <w:color w:val="474747"/>
          <w:sz w:val="16"/>
          <w:szCs w:val="16"/>
        </w:rPr>
      </w:pPr>
    </w:p>
    <w:p w:rsidR="00AB7725" w:rsidRPr="001658CE" w:rsidRDefault="001658CE" w:rsidP="00AB7725">
      <w:pPr>
        <w:jc w:val="both"/>
        <w:rPr>
          <w:rFonts w:ascii="CalifornianFB" w:hAnsi="CalifornianFB" w:cs="CalifornianFB"/>
          <w:b/>
          <w:color w:val="474747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1D078" wp14:editId="33A78E0C">
                <wp:simplePos x="0" y="0"/>
                <wp:positionH relativeFrom="column">
                  <wp:posOffset>-167640</wp:posOffset>
                </wp:positionH>
                <wp:positionV relativeFrom="paragraph">
                  <wp:posOffset>466090</wp:posOffset>
                </wp:positionV>
                <wp:extent cx="6734175" cy="1619250"/>
                <wp:effectExtent l="38100" t="38100" r="371475" b="342900"/>
                <wp:wrapNone/>
                <wp:docPr id="9" name="Nastro perfora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619250"/>
                        </a:xfrm>
                        <a:prstGeom prst="flowChartPunchedTape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AB7725" w:rsidRPr="001A5F8E" w:rsidRDefault="00AB7725" w:rsidP="00AB7725">
                            <w:pPr>
                              <w:jc w:val="center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1A5F8E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CHI PUO’ </w:t>
                            </w:r>
                            <w:proofErr w:type="gramStart"/>
                            <w:r w:rsidRPr="001A5F8E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PARTECIPARE ?</w:t>
                            </w:r>
                            <w:proofErr w:type="gramEnd"/>
                          </w:p>
                          <w:p w:rsidR="00AB7725" w:rsidRDefault="00AB7725" w:rsidP="00AB7725">
                            <w:pPr>
                              <w:jc w:val="center"/>
                            </w:pPr>
                            <w:r w:rsidRPr="00F919EC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Al ricorso possono partecipare tutti i docenti e gli ATA </w:t>
                            </w:r>
                            <w:proofErr w:type="gramStart"/>
                            <w:r w:rsidRPr="00F919EC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immessi  in</w:t>
                            </w:r>
                            <w:proofErr w:type="gramEnd"/>
                            <w:r w:rsidRPr="00F919EC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 ruolo da meno di 10 anni con una anzianità </w:t>
                            </w:r>
                            <w:proofErr w:type="spellStart"/>
                            <w:r w:rsidRPr="00F919EC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pre</w:t>
                            </w:r>
                            <w:proofErr w:type="spellEnd"/>
                            <w:r w:rsidRPr="00F919EC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–ruolo superiore a 4 anni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1D078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Nastro perforato 9" o:spid="_x0000_s1027" type="#_x0000_t122" style="position:absolute;left:0;text-align:left;margin-left:-13.2pt;margin-top:36.7pt;width:530.25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" fillcolor="#0070c0" stroked="f" strokeweight="2pt">
                <v:shadow on="t" color="black" opacity="19660f" offset="4.49014mm,4.49014mm"/>
                <v:textbox>
                  <w:txbxContent>
                    <w:p w:rsidR="00AB7725" w:rsidRPr="001A5F8E" w:rsidRDefault="00AB7725" w:rsidP="00AB7725">
                      <w:pPr>
                        <w:jc w:val="center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1A5F8E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CHI PUO’ </w:t>
                      </w:r>
                      <w:proofErr w:type="gramStart"/>
                      <w:r w:rsidRPr="001A5F8E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PARTECIPARE ?</w:t>
                      </w:r>
                      <w:proofErr w:type="gramEnd"/>
                    </w:p>
                    <w:p w:rsidR="00AB7725" w:rsidRDefault="00AB7725" w:rsidP="00AB7725">
                      <w:pPr>
                        <w:jc w:val="center"/>
                      </w:pPr>
                      <w:r w:rsidRPr="00F919EC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Al ricorso possono partecipare tutti i docenti e gli ATA </w:t>
                      </w:r>
                      <w:proofErr w:type="gramStart"/>
                      <w:r w:rsidRPr="00F919EC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immessi  in</w:t>
                      </w:r>
                      <w:proofErr w:type="gramEnd"/>
                      <w:r w:rsidRPr="00F919EC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 ruolo da meno di 10 anni con una anzianità </w:t>
                      </w:r>
                      <w:proofErr w:type="spellStart"/>
                      <w:r w:rsidRPr="00F919EC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pre</w:t>
                      </w:r>
                      <w:proofErr w:type="spellEnd"/>
                      <w:r w:rsidRPr="00F919EC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–ruolo superiore a 4 anni</w:t>
                      </w:r>
                    </w:p>
                  </w:txbxContent>
                </v:textbox>
              </v:shape>
            </w:pict>
          </mc:Fallback>
        </mc:AlternateContent>
      </w:r>
      <w:r w:rsidR="00AB7725" w:rsidRPr="001658CE">
        <w:rPr>
          <w:rFonts w:ascii="CalifornianFB" w:hAnsi="CalifornianFB" w:cs="CalifornianFB"/>
          <w:b/>
          <w:color w:val="474747"/>
        </w:rPr>
        <w:t>Pertanto, le ricostruzioni di carriera del personale scolastico dovranno essere rivalutate alla luce della corretta applicazione del principio espresso e dei criteri individuati dalla Cassazione, al fine di ottenere la corretta ed integrale ricostruzione di carriera e l’esatto inquadramento della fascia stipendiale determinata sulla base della complessiva anzianità di servizio.</w:t>
      </w:r>
    </w:p>
    <w:p w:rsidR="00AB7725" w:rsidRDefault="00AB7725" w:rsidP="00AB7725">
      <w:pPr>
        <w:jc w:val="both"/>
        <w:rPr>
          <w:rFonts w:ascii="CalifornianFB" w:hAnsi="CalifornianFB" w:cs="CalifornianFB"/>
          <w:b/>
          <w:color w:val="474747"/>
          <w:sz w:val="22"/>
          <w:szCs w:val="22"/>
        </w:rPr>
      </w:pPr>
    </w:p>
    <w:p w:rsidR="00AB7725" w:rsidRDefault="00AB7725" w:rsidP="00AB7725">
      <w:pPr>
        <w:jc w:val="both"/>
        <w:rPr>
          <w:rFonts w:ascii="CalifornianFB" w:hAnsi="CalifornianFB" w:cs="CalifornianFB"/>
          <w:b/>
          <w:color w:val="474747"/>
          <w:sz w:val="22"/>
          <w:szCs w:val="22"/>
        </w:rPr>
      </w:pPr>
    </w:p>
    <w:p w:rsidR="00AB7725" w:rsidRDefault="00AB7725" w:rsidP="00AB7725">
      <w:pPr>
        <w:jc w:val="both"/>
        <w:rPr>
          <w:rFonts w:ascii="CalifornianFB" w:hAnsi="CalifornianFB" w:cs="CalifornianFB"/>
          <w:b/>
          <w:color w:val="474747"/>
          <w:sz w:val="22"/>
          <w:szCs w:val="22"/>
        </w:rPr>
      </w:pPr>
    </w:p>
    <w:p w:rsidR="00AB7725" w:rsidRDefault="00AB7725" w:rsidP="00AB7725">
      <w:pPr>
        <w:jc w:val="both"/>
        <w:rPr>
          <w:rFonts w:ascii="CalifornianFB" w:hAnsi="CalifornianFB" w:cs="CalifornianFB"/>
          <w:b/>
          <w:color w:val="474747"/>
          <w:sz w:val="22"/>
          <w:szCs w:val="22"/>
        </w:rPr>
      </w:pPr>
    </w:p>
    <w:p w:rsidR="00AB7725" w:rsidRDefault="00AB7725" w:rsidP="00AB7725">
      <w:pPr>
        <w:jc w:val="both"/>
        <w:rPr>
          <w:rFonts w:ascii="CalifornianFB" w:hAnsi="CalifornianFB" w:cs="CalifornianFB"/>
          <w:b/>
          <w:color w:val="474747"/>
          <w:sz w:val="22"/>
          <w:szCs w:val="22"/>
        </w:rPr>
      </w:pPr>
    </w:p>
    <w:p w:rsidR="00AB7725" w:rsidRDefault="00AB7725" w:rsidP="00AB7725">
      <w:pPr>
        <w:jc w:val="both"/>
        <w:rPr>
          <w:rFonts w:ascii="CalifornianFB" w:hAnsi="CalifornianFB" w:cs="CalifornianFB"/>
          <w:b/>
          <w:color w:val="474747"/>
          <w:sz w:val="22"/>
          <w:szCs w:val="22"/>
        </w:rPr>
      </w:pPr>
    </w:p>
    <w:p w:rsidR="00AB7725" w:rsidRDefault="00AB7725" w:rsidP="00AB7725">
      <w:pPr>
        <w:jc w:val="both"/>
        <w:rPr>
          <w:rFonts w:ascii="CalifornianFB" w:hAnsi="CalifornianFB" w:cs="CalifornianFB"/>
          <w:b/>
          <w:color w:val="474747"/>
          <w:sz w:val="22"/>
          <w:szCs w:val="22"/>
        </w:rPr>
      </w:pPr>
    </w:p>
    <w:p w:rsidR="00AB7725" w:rsidRDefault="00AB7725" w:rsidP="00AB7725">
      <w:pPr>
        <w:rPr>
          <w:rFonts w:ascii="CalifornianFB" w:hAnsi="CalifornianFB" w:cs="CalifornianFB"/>
          <w:b/>
          <w:color w:val="474747"/>
          <w:sz w:val="22"/>
          <w:szCs w:val="22"/>
        </w:rPr>
      </w:pPr>
    </w:p>
    <w:p w:rsidR="00AB7725" w:rsidRDefault="00AB7725" w:rsidP="00AB7725">
      <w:pPr>
        <w:rPr>
          <w:rFonts w:ascii="CalifornianFB" w:hAnsi="CalifornianFB" w:cs="CalifornianFB"/>
          <w:b/>
          <w:color w:val="474747"/>
          <w:sz w:val="22"/>
          <w:szCs w:val="22"/>
        </w:rPr>
      </w:pPr>
    </w:p>
    <w:p w:rsidR="00AB7725" w:rsidRDefault="00AB7725" w:rsidP="00AB7725">
      <w:pPr>
        <w:rPr>
          <w:rFonts w:ascii="CalifornianFB" w:hAnsi="CalifornianFB" w:cs="CalifornianFB"/>
          <w:b/>
          <w:color w:val="474747"/>
          <w:sz w:val="22"/>
          <w:szCs w:val="22"/>
        </w:rPr>
      </w:pPr>
    </w:p>
    <w:p w:rsidR="00AB7725" w:rsidRDefault="00AB7725" w:rsidP="00AB7725">
      <w:r>
        <w:t xml:space="preserve"> </w:t>
      </w:r>
    </w:p>
    <w:p w:rsidR="00AB7725" w:rsidRDefault="00AB7725" w:rsidP="00AB7725">
      <w:r w:rsidRPr="001658CE">
        <w:rPr>
          <w:rFonts w:ascii="CenturySchoolbook,Bold" w:hAnsi="CenturySchoolbook,Bold" w:cs="CenturySchoolbook,Bold"/>
          <w:b/>
          <w:bCs/>
          <w:color w:val="373737"/>
          <w:sz w:val="22"/>
          <w:szCs w:val="22"/>
        </w:rPr>
        <w:t>I documenti necessari per procedere con il ricorso:</w:t>
      </w:r>
    </w:p>
    <w:p w:rsidR="00AB7725" w:rsidRDefault="00AB7725" w:rsidP="00AB7725">
      <w:pPr>
        <w:pStyle w:val="Paragrafoelenco"/>
        <w:numPr>
          <w:ilvl w:val="0"/>
          <w:numId w:val="2"/>
        </w:numPr>
      </w:pPr>
      <w:r>
        <w:t>Copia di un documento di riconoscimento;</w:t>
      </w:r>
    </w:p>
    <w:p w:rsidR="00AB7725" w:rsidRDefault="00AB7725" w:rsidP="00AB7725">
      <w:pPr>
        <w:pStyle w:val="Paragrafoelenco"/>
        <w:numPr>
          <w:ilvl w:val="0"/>
          <w:numId w:val="2"/>
        </w:numPr>
      </w:pPr>
      <w:r>
        <w:t xml:space="preserve">Procura alle liti </w:t>
      </w:r>
      <w:r w:rsidRPr="006768A4">
        <w:rPr>
          <w:rFonts w:ascii="CenturySchoolbook" w:hAnsi="CenturySchoolbook" w:cs="CenturySchoolbook"/>
          <w:color w:val="373737"/>
          <w:sz w:val="22"/>
          <w:szCs w:val="22"/>
        </w:rPr>
        <w:t>*</w:t>
      </w:r>
      <w:r>
        <w:t>;</w:t>
      </w:r>
    </w:p>
    <w:p w:rsidR="00AB7725" w:rsidRDefault="00AB7725" w:rsidP="00AB7725">
      <w:pPr>
        <w:pStyle w:val="Paragrafoelenco"/>
        <w:numPr>
          <w:ilvl w:val="0"/>
          <w:numId w:val="2"/>
        </w:numPr>
      </w:pPr>
      <w:r>
        <w:t xml:space="preserve">Informativa privacy </w:t>
      </w:r>
      <w:r w:rsidRPr="006768A4">
        <w:rPr>
          <w:rFonts w:ascii="CenturySchoolbook" w:hAnsi="CenturySchoolbook" w:cs="CenturySchoolbook"/>
          <w:color w:val="373737"/>
          <w:sz w:val="22"/>
          <w:szCs w:val="22"/>
        </w:rPr>
        <w:t>*</w:t>
      </w:r>
      <w:r>
        <w:t>;</w:t>
      </w:r>
    </w:p>
    <w:p w:rsidR="00AB7725" w:rsidRDefault="00AB7725" w:rsidP="00AB7725">
      <w:pPr>
        <w:pStyle w:val="Paragrafoelenco"/>
        <w:numPr>
          <w:ilvl w:val="0"/>
          <w:numId w:val="2"/>
        </w:numPr>
      </w:pPr>
      <w:r>
        <w:t>Dichiarazione di esenzione per il pagamento del contributo</w:t>
      </w:r>
    </w:p>
    <w:p w:rsidR="00AB7725" w:rsidRDefault="00AB7725" w:rsidP="00AB7725">
      <w:pPr>
        <w:ind w:left="708"/>
      </w:pPr>
      <w:r>
        <w:t xml:space="preserve">unificato </w:t>
      </w:r>
      <w:r w:rsidRPr="006768A4">
        <w:rPr>
          <w:rFonts w:ascii="CenturySchoolbook" w:hAnsi="CenturySchoolbook" w:cs="CenturySchoolbook"/>
          <w:color w:val="373737"/>
          <w:sz w:val="22"/>
          <w:szCs w:val="22"/>
        </w:rPr>
        <w:t>*</w:t>
      </w:r>
      <w:r>
        <w:rPr>
          <w:rFonts w:ascii="CenturySchoolbook" w:hAnsi="CenturySchoolbook" w:cs="CenturySchoolbook"/>
          <w:color w:val="373737"/>
          <w:sz w:val="22"/>
          <w:szCs w:val="22"/>
        </w:rPr>
        <w:t xml:space="preserve"> </w:t>
      </w:r>
      <w:r>
        <w:t>N.B. in caso si superi il reddito la dichiarazione dovrà essere sbarrata e non compilata;</w:t>
      </w:r>
    </w:p>
    <w:p w:rsidR="00AB7725" w:rsidRDefault="00AB7725" w:rsidP="00AB7725">
      <w:pPr>
        <w:pStyle w:val="Paragrafoelenco"/>
        <w:numPr>
          <w:ilvl w:val="0"/>
          <w:numId w:val="2"/>
        </w:numPr>
      </w:pPr>
      <w:r>
        <w:t xml:space="preserve">Contratto professionale </w:t>
      </w:r>
      <w:r w:rsidRPr="006768A4">
        <w:rPr>
          <w:rFonts w:ascii="CenturySchoolbook" w:hAnsi="CenturySchoolbook" w:cs="CenturySchoolbook"/>
          <w:color w:val="373737"/>
          <w:sz w:val="22"/>
          <w:szCs w:val="22"/>
        </w:rPr>
        <w:t>*</w:t>
      </w:r>
      <w:r>
        <w:t>;</w:t>
      </w:r>
    </w:p>
    <w:p w:rsidR="00AB7725" w:rsidRDefault="00AB7725" w:rsidP="00AB7725">
      <w:pPr>
        <w:pStyle w:val="Paragrafoelenco"/>
        <w:numPr>
          <w:ilvl w:val="0"/>
          <w:numId w:val="2"/>
        </w:numPr>
      </w:pPr>
      <w:r>
        <w:t>Decreto di ricostruzione di carriera;</w:t>
      </w:r>
    </w:p>
    <w:p w:rsidR="00AB7725" w:rsidRDefault="00AB7725" w:rsidP="00AB7725">
      <w:pPr>
        <w:pStyle w:val="Paragrafoelenco"/>
        <w:numPr>
          <w:ilvl w:val="0"/>
          <w:numId w:val="2"/>
        </w:numPr>
      </w:pPr>
      <w:r>
        <w:t>Dichiarazione dei servizi;</w:t>
      </w:r>
    </w:p>
    <w:p w:rsidR="00AB7725" w:rsidRDefault="00AB7725" w:rsidP="00AB7725">
      <w:pPr>
        <w:pStyle w:val="Paragrafoelenco"/>
        <w:numPr>
          <w:ilvl w:val="0"/>
          <w:numId w:val="2"/>
        </w:numPr>
      </w:pPr>
      <w:r>
        <w:t xml:space="preserve">Almeno una </w:t>
      </w:r>
      <w:proofErr w:type="gramStart"/>
      <w:r>
        <w:t>busta  paga</w:t>
      </w:r>
      <w:proofErr w:type="gramEnd"/>
      <w:r>
        <w:t xml:space="preserve"> relativa al </w:t>
      </w:r>
      <w:proofErr w:type="spellStart"/>
      <w:r>
        <w:t>pre</w:t>
      </w:r>
      <w:proofErr w:type="spellEnd"/>
      <w:r>
        <w:t xml:space="preserve"> ruolo e una post immissione in ruolo;</w:t>
      </w:r>
    </w:p>
    <w:p w:rsidR="00AB7725" w:rsidRPr="00AB7725" w:rsidRDefault="00AB7725" w:rsidP="00AB7725">
      <w:pPr>
        <w:pStyle w:val="Paragrafoelenco"/>
        <w:numPr>
          <w:ilvl w:val="0"/>
          <w:numId w:val="2"/>
        </w:numPr>
      </w:pPr>
      <w:r>
        <w:t xml:space="preserve">Atto di Diffida </w:t>
      </w:r>
      <w:r w:rsidRPr="006768A4">
        <w:rPr>
          <w:rFonts w:ascii="CenturySchoolbook" w:hAnsi="CenturySchoolbook" w:cs="CenturySchoolbook"/>
          <w:color w:val="373737"/>
          <w:sz w:val="22"/>
          <w:szCs w:val="22"/>
        </w:rPr>
        <w:t>*</w:t>
      </w:r>
    </w:p>
    <w:p w:rsidR="00CE7AFB" w:rsidRDefault="00CE7AFB" w:rsidP="00AB7725"/>
    <w:p w:rsidR="00AB7725" w:rsidRDefault="00AB7725" w:rsidP="00AB7725">
      <w:pPr>
        <w:autoSpaceDE w:val="0"/>
        <w:autoSpaceDN w:val="0"/>
        <w:adjustRightInd w:val="0"/>
        <w:rPr>
          <w:rFonts w:ascii="CenturySchoolbook" w:hAnsi="CenturySchoolbook" w:cs="CenturySchoolbook"/>
          <w:color w:val="373737"/>
        </w:rPr>
      </w:pPr>
      <w:r w:rsidRPr="00D57473">
        <w:rPr>
          <w:rFonts w:ascii="CenturySchoolbook" w:hAnsi="CenturySchoolbook" w:cs="CenturySchoolbook"/>
          <w:color w:val="373737"/>
          <w:sz w:val="18"/>
          <w:szCs w:val="18"/>
        </w:rPr>
        <w:t xml:space="preserve">I documenti contrassegnati con </w:t>
      </w:r>
      <w:r w:rsidRPr="006768A4">
        <w:rPr>
          <w:rFonts w:ascii="CenturySchoolbook" w:hAnsi="CenturySchoolbook" w:cs="CenturySchoolbook"/>
          <w:color w:val="373737"/>
        </w:rPr>
        <w:t>*</w:t>
      </w:r>
      <w:r w:rsidRPr="00D57473">
        <w:rPr>
          <w:rFonts w:ascii="CenturySchoolbook" w:hAnsi="CenturySchoolbook" w:cs="CenturySchoolbook"/>
          <w:color w:val="373737"/>
          <w:sz w:val="18"/>
          <w:szCs w:val="18"/>
        </w:rPr>
        <w:t xml:space="preserve"> saranno inviati ai ricorrenti dalla scrivente Segreteria territoriale.</w:t>
      </w:r>
    </w:p>
    <w:p w:rsidR="001658CE" w:rsidRDefault="001658CE" w:rsidP="00AB7725">
      <w:pPr>
        <w:autoSpaceDE w:val="0"/>
        <w:autoSpaceDN w:val="0"/>
        <w:adjustRightInd w:val="0"/>
        <w:rPr>
          <w:rFonts w:ascii="Lucida Calligraphy" w:hAnsi="Lucida Calligraphy"/>
          <w:b/>
        </w:rPr>
      </w:pPr>
    </w:p>
    <w:p w:rsidR="00AB7725" w:rsidRDefault="00AB7725" w:rsidP="00AB7725">
      <w:pPr>
        <w:autoSpaceDE w:val="0"/>
        <w:autoSpaceDN w:val="0"/>
        <w:adjustRightInd w:val="0"/>
      </w:pPr>
      <w:r w:rsidRPr="00D57473">
        <w:rPr>
          <w:rFonts w:ascii="Lucida Calligraphy" w:hAnsi="Lucida Calligraphy"/>
          <w:b/>
        </w:rPr>
        <w:t xml:space="preserve">Per informazioni: Serafino 3282258300 – Marco 3479688040 – Emidio 3383858144 – Franco </w:t>
      </w:r>
      <w:r>
        <w:rPr>
          <w:rFonts w:ascii="Lucida Calligraphy" w:hAnsi="Lucida Calligraphy"/>
          <w:b/>
        </w:rPr>
        <w:t>3917658553</w:t>
      </w:r>
    </w:p>
    <w:p w:rsidR="00AB7725" w:rsidRDefault="00AB7725" w:rsidP="00AB7725"/>
    <w:sectPr w:rsidR="00AB77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fornianFB">
    <w:altName w:val="Times New Roman"/>
    <w:panose1 w:val="00000000000000000000"/>
    <w:charset w:val="00"/>
    <w:family w:val="roman"/>
    <w:notTrueType/>
    <w:pitch w:val="default"/>
  </w:font>
  <w:font w:name="CenturySchoolbook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School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980"/>
    <w:multiLevelType w:val="hybridMultilevel"/>
    <w:tmpl w:val="D22426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4088D"/>
    <w:multiLevelType w:val="hybridMultilevel"/>
    <w:tmpl w:val="9020AA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A2675"/>
    <w:multiLevelType w:val="hybridMultilevel"/>
    <w:tmpl w:val="376EC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25"/>
    <w:rsid w:val="001658CE"/>
    <w:rsid w:val="003F2B00"/>
    <w:rsid w:val="00AB7725"/>
    <w:rsid w:val="00C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4CA70-BCEF-4ECE-BC20-420E57B2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B772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7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72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B7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Lenovo</cp:lastModifiedBy>
  <cp:revision>2</cp:revision>
  <dcterms:created xsi:type="dcterms:W3CDTF">2020-12-13T17:22:00Z</dcterms:created>
  <dcterms:modified xsi:type="dcterms:W3CDTF">2020-12-13T17:22:00Z</dcterms:modified>
</cp:coreProperties>
</file>