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235" w:rsidRPr="00171235" w:rsidRDefault="00171235" w:rsidP="00D57473">
      <w:pPr>
        <w:pStyle w:val="Titolo2"/>
        <w:shd w:val="clear" w:color="auto" w:fill="FFFFFF"/>
        <w:ind w:right="240"/>
        <w:rPr>
          <w:rFonts w:ascii="Tahoma" w:hAnsi="Tahoma" w:cs="Tahoma"/>
          <w:color w:val="FF0000"/>
          <w:sz w:val="16"/>
          <w:szCs w:val="16"/>
          <w:lang w:val="it-IT"/>
        </w:rPr>
      </w:pPr>
      <w:bookmarkStart w:id="0" w:name="_GoBack"/>
      <w:bookmarkEnd w:id="0"/>
      <w:r>
        <w:rPr>
          <w:rFonts w:ascii="Tahoma" w:hAnsi="Tahoma" w:cs="Tahoma"/>
          <w:noProof/>
          <w:snapToGrid/>
          <w:color w:val="FF0000"/>
          <w:sz w:val="48"/>
          <w:szCs w:val="48"/>
          <w:lang w:val="it-IT" w:eastAsia="it-IT"/>
        </w:rPr>
        <w:drawing>
          <wp:inline distT="0" distB="0" distL="0" distR="0" wp14:anchorId="5733F81A" wp14:editId="7FC1F0C2">
            <wp:extent cx="2181225" cy="729748"/>
            <wp:effectExtent l="0" t="0" r="0" b="0"/>
            <wp:docPr id="17" name="Immagin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UIL Bologna.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98120" cy="735400"/>
                    </a:xfrm>
                    <a:prstGeom prst="rect">
                      <a:avLst/>
                    </a:prstGeom>
                  </pic:spPr>
                </pic:pic>
              </a:graphicData>
            </a:graphic>
          </wp:inline>
        </w:drawing>
      </w:r>
    </w:p>
    <w:p w:rsidR="00171235" w:rsidRDefault="00171235" w:rsidP="00171235">
      <w:pPr>
        <w:pStyle w:val="Titolo2"/>
        <w:shd w:val="clear" w:color="auto" w:fill="FFFFFF"/>
        <w:ind w:right="240"/>
        <w:jc w:val="center"/>
        <w:rPr>
          <w:rFonts w:ascii="Tahoma" w:hAnsi="Tahoma" w:cs="Tahoma"/>
          <w:color w:val="FF0000"/>
          <w:sz w:val="48"/>
          <w:szCs w:val="48"/>
          <w:lang w:val="it-IT"/>
        </w:rPr>
      </w:pPr>
      <w:r>
        <w:rPr>
          <w:rFonts w:ascii="Tahoma" w:hAnsi="Tahoma" w:cs="Tahoma"/>
          <w:noProof/>
          <w:snapToGrid/>
          <w:color w:val="FF0000"/>
          <w:sz w:val="48"/>
          <w:szCs w:val="48"/>
          <w:lang w:val="it-IT" w:eastAsia="it-IT"/>
        </w:rPr>
        <mc:AlternateContent>
          <mc:Choice Requires="wps">
            <w:drawing>
              <wp:anchor distT="0" distB="0" distL="114300" distR="114300" simplePos="0" relativeHeight="251659264" behindDoc="0" locked="0" layoutInCell="1" allowOverlap="1" wp14:anchorId="4E3E3138" wp14:editId="42F31D04">
                <wp:simplePos x="0" y="0"/>
                <wp:positionH relativeFrom="column">
                  <wp:posOffset>203835</wp:posOffset>
                </wp:positionH>
                <wp:positionV relativeFrom="paragraph">
                  <wp:posOffset>57785</wp:posOffset>
                </wp:positionV>
                <wp:extent cx="5791200" cy="1028700"/>
                <wp:effectExtent l="38100" t="38100" r="342900" b="342900"/>
                <wp:wrapNone/>
                <wp:docPr id="5" name="Ovale 5"/>
                <wp:cNvGraphicFramePr/>
                <a:graphic xmlns:a="http://schemas.openxmlformats.org/drawingml/2006/main">
                  <a:graphicData uri="http://schemas.microsoft.com/office/word/2010/wordprocessingShape">
                    <wps:wsp>
                      <wps:cNvSpPr/>
                      <wps:spPr>
                        <a:xfrm>
                          <a:off x="0" y="0"/>
                          <a:ext cx="5791200" cy="1028700"/>
                        </a:xfrm>
                        <a:prstGeom prst="ellipse">
                          <a:avLst/>
                        </a:prstGeom>
                        <a:solidFill>
                          <a:srgbClr val="0070C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171235" w:rsidRPr="00171235" w:rsidRDefault="00171235" w:rsidP="00171235">
                            <w:pPr>
                              <w:jc w:val="center"/>
                              <w:rPr>
                                <w:rFonts w:ascii="Lucida Calligraphy" w:hAnsi="Lucida Calligraphy"/>
                                <w:sz w:val="32"/>
                                <w:szCs w:val="32"/>
                              </w:rPr>
                            </w:pPr>
                            <w:r w:rsidRPr="00171235">
                              <w:rPr>
                                <w:rFonts w:ascii="Lucida Calligraphy" w:hAnsi="Lucida Calligraphy"/>
                                <w:sz w:val="32"/>
                                <w:szCs w:val="32"/>
                              </w:rPr>
                              <w:t>Recupero RPD e CIA</w:t>
                            </w:r>
                          </w:p>
                          <w:p w:rsidR="00171235" w:rsidRPr="00171235" w:rsidRDefault="00171235" w:rsidP="00171235">
                            <w:pPr>
                              <w:jc w:val="center"/>
                              <w:rPr>
                                <w:rFonts w:ascii="Lucida Calligraphy" w:hAnsi="Lucida Calligraphy"/>
                              </w:rPr>
                            </w:pPr>
                            <w:r w:rsidRPr="00171235">
                              <w:rPr>
                                <w:rFonts w:ascii="Lucida Calligraphy" w:hAnsi="Lucida Calligraphy"/>
                              </w:rPr>
                              <w:t>Retribuzione Professionale Docente (DOCENTI)</w:t>
                            </w:r>
                          </w:p>
                          <w:p w:rsidR="00171235" w:rsidRPr="00171235" w:rsidRDefault="00171235" w:rsidP="00171235">
                            <w:pPr>
                              <w:jc w:val="center"/>
                              <w:rPr>
                                <w:rFonts w:ascii="Lucida Calligraphy" w:hAnsi="Lucida Calligraphy"/>
                              </w:rPr>
                            </w:pPr>
                            <w:r w:rsidRPr="00171235">
                              <w:rPr>
                                <w:rFonts w:ascii="Lucida Calligraphy" w:hAnsi="Lucida Calligraphy"/>
                              </w:rPr>
                              <w:t>Compenso individuale accessorio (ATA)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3E3138" id="Ovale 5" o:spid="_x0000_s1026" style="position:absolute;left:0;text-align:left;margin-left:16.05pt;margin-top:4.55pt;width:456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" fillcolor="#0070c0" stroked="f" strokeweight="2pt">
                <v:shadow on="t" color="black" opacity="19660f" offset="4.49014mm,4.49014mm"/>
                <v:textbox>
                  <w:txbxContent>
                    <w:p w:rsidR="00171235" w:rsidRPr="00171235" w:rsidRDefault="00171235" w:rsidP="00171235">
                      <w:pPr>
                        <w:jc w:val="center"/>
                        <w:rPr>
                          <w:rFonts w:ascii="Lucida Calligraphy" w:hAnsi="Lucida Calligraphy"/>
                          <w:sz w:val="32"/>
                          <w:szCs w:val="32"/>
                        </w:rPr>
                      </w:pPr>
                      <w:r w:rsidRPr="00171235">
                        <w:rPr>
                          <w:rFonts w:ascii="Lucida Calligraphy" w:hAnsi="Lucida Calligraphy"/>
                          <w:sz w:val="32"/>
                          <w:szCs w:val="32"/>
                        </w:rPr>
                        <w:t>Recupero RPD e CIA</w:t>
                      </w:r>
                    </w:p>
                    <w:p w:rsidR="00171235" w:rsidRPr="00171235" w:rsidRDefault="00171235" w:rsidP="00171235">
                      <w:pPr>
                        <w:jc w:val="center"/>
                        <w:rPr>
                          <w:rFonts w:ascii="Lucida Calligraphy" w:hAnsi="Lucida Calligraphy"/>
                        </w:rPr>
                      </w:pPr>
                      <w:r w:rsidRPr="00171235">
                        <w:rPr>
                          <w:rFonts w:ascii="Lucida Calligraphy" w:hAnsi="Lucida Calligraphy"/>
                        </w:rPr>
                        <w:t>Retribuzione Professionale Docente (DOCENTI)</w:t>
                      </w:r>
                    </w:p>
                    <w:p w:rsidR="00171235" w:rsidRPr="00171235" w:rsidRDefault="00171235" w:rsidP="00171235">
                      <w:pPr>
                        <w:jc w:val="center"/>
                        <w:rPr>
                          <w:rFonts w:ascii="Lucida Calligraphy" w:hAnsi="Lucida Calligraphy"/>
                        </w:rPr>
                      </w:pPr>
                      <w:r w:rsidRPr="00171235">
                        <w:rPr>
                          <w:rFonts w:ascii="Lucida Calligraphy" w:hAnsi="Lucida Calligraphy"/>
                        </w:rPr>
                        <w:t>Compenso individuale accessorio (ATA)</w:t>
                      </w:r>
                    </w:p>
                  </w:txbxContent>
                </v:textbox>
              </v:oval>
            </w:pict>
          </mc:Fallback>
        </mc:AlternateContent>
      </w:r>
    </w:p>
    <w:p w:rsidR="00171235" w:rsidRDefault="00171235" w:rsidP="00171235">
      <w:pPr>
        <w:rPr>
          <w:lang w:eastAsia="x-none"/>
        </w:rPr>
      </w:pPr>
    </w:p>
    <w:p w:rsidR="00171235" w:rsidRDefault="00171235" w:rsidP="00171235">
      <w:pPr>
        <w:rPr>
          <w:lang w:eastAsia="x-none"/>
        </w:rPr>
      </w:pPr>
    </w:p>
    <w:p w:rsidR="00171235" w:rsidRDefault="00171235" w:rsidP="00171235">
      <w:pPr>
        <w:rPr>
          <w:lang w:eastAsia="x-none"/>
        </w:rPr>
      </w:pPr>
    </w:p>
    <w:p w:rsidR="00171235" w:rsidRDefault="00171235" w:rsidP="00171235">
      <w:pPr>
        <w:rPr>
          <w:lang w:eastAsia="x-none"/>
        </w:rPr>
      </w:pPr>
    </w:p>
    <w:p w:rsidR="00171235" w:rsidRPr="00DC6F0C" w:rsidRDefault="00171235" w:rsidP="00171235">
      <w:pPr>
        <w:rPr>
          <w:lang w:eastAsia="x-none"/>
        </w:rPr>
      </w:pPr>
    </w:p>
    <w:p w:rsidR="00171235" w:rsidRPr="00171235" w:rsidRDefault="00171235" w:rsidP="00171235">
      <w:pPr>
        <w:pStyle w:val="Titolo2"/>
        <w:shd w:val="clear" w:color="auto" w:fill="FFFFFF"/>
        <w:ind w:right="240"/>
        <w:jc w:val="center"/>
        <w:rPr>
          <w:rFonts w:ascii="Tahoma" w:hAnsi="Tahoma" w:cs="Tahoma"/>
          <w:color w:val="FF0000"/>
          <w:sz w:val="16"/>
          <w:szCs w:val="16"/>
          <w:lang w:val="it-IT"/>
        </w:rPr>
      </w:pPr>
    </w:p>
    <w:p w:rsidR="00171235" w:rsidRPr="00171235" w:rsidRDefault="00171235" w:rsidP="00171235">
      <w:pPr>
        <w:autoSpaceDE w:val="0"/>
        <w:autoSpaceDN w:val="0"/>
        <w:adjustRightInd w:val="0"/>
        <w:jc w:val="both"/>
        <w:rPr>
          <w:rFonts w:ascii="CalifornianFB" w:hAnsi="CalifornianFB" w:cs="CalifornianFB"/>
          <w:color w:val="474747"/>
        </w:rPr>
      </w:pPr>
      <w:r w:rsidRPr="00171235">
        <w:rPr>
          <w:rFonts w:ascii="CalifornianFB" w:hAnsi="CalifornianFB" w:cs="CalifornianFB"/>
          <w:color w:val="474747"/>
        </w:rPr>
        <w:t>La Retribuzione Professionale Docenti / Compenso Individuale Accessorio deve essere corrisposta/o anche per il personale con supplenze brevi e saltuarie, così ha deciso la Corte di Cassazione.</w:t>
      </w:r>
    </w:p>
    <w:p w:rsidR="00171235" w:rsidRPr="00D57473" w:rsidRDefault="00171235" w:rsidP="00171235">
      <w:pPr>
        <w:autoSpaceDE w:val="0"/>
        <w:autoSpaceDN w:val="0"/>
        <w:adjustRightInd w:val="0"/>
        <w:jc w:val="both"/>
        <w:rPr>
          <w:rFonts w:ascii="CalifornianFB" w:hAnsi="CalifornianFB" w:cs="CalifornianFB"/>
          <w:color w:val="474747"/>
          <w:sz w:val="16"/>
          <w:szCs w:val="16"/>
        </w:rPr>
      </w:pPr>
    </w:p>
    <w:p w:rsidR="00171235" w:rsidRPr="00171235" w:rsidRDefault="00171235" w:rsidP="00171235">
      <w:pPr>
        <w:autoSpaceDE w:val="0"/>
        <w:autoSpaceDN w:val="0"/>
        <w:adjustRightInd w:val="0"/>
        <w:jc w:val="both"/>
        <w:rPr>
          <w:rFonts w:ascii="CalifornianFB" w:hAnsi="CalifornianFB" w:cs="CalifornianFB"/>
          <w:color w:val="474747"/>
        </w:rPr>
      </w:pPr>
      <w:r w:rsidRPr="00171235">
        <w:rPr>
          <w:rFonts w:ascii="CalifornianFB" w:hAnsi="CalifornianFB" w:cs="CalifornianFB"/>
          <w:color w:val="474747"/>
        </w:rPr>
        <w:t xml:space="preserve">L’Ordinanza n. 20015 dello scorso 27 luglio, condanna il Ministero dell’Istruzione, evidenziando la violazione della Direttiva Comunitaria 1999/70/Cee </w:t>
      </w:r>
      <w:r w:rsidRPr="00171235">
        <w:rPr>
          <w:rFonts w:ascii="CalifornianFB" w:hAnsi="CalifornianFB" w:cs="CalifornianFB"/>
          <w:color w:val="000000"/>
        </w:rPr>
        <w:t xml:space="preserve">e segnalando </w:t>
      </w:r>
      <w:r w:rsidRPr="00171235">
        <w:rPr>
          <w:rFonts w:ascii="CalifornianFB" w:hAnsi="CalifornianFB" w:cs="CalifornianFB"/>
          <w:color w:val="474747"/>
        </w:rPr>
        <w:t>la perpetrata discriminazione nei confronti del personale precario con contratti inferiori all’annualità.</w:t>
      </w:r>
    </w:p>
    <w:p w:rsidR="00171235" w:rsidRPr="00D57473" w:rsidRDefault="00171235" w:rsidP="00171235">
      <w:pPr>
        <w:jc w:val="both"/>
        <w:rPr>
          <w:rFonts w:ascii="CalifornianFB" w:hAnsi="CalifornianFB" w:cs="CalifornianFB"/>
          <w:color w:val="474747"/>
          <w:sz w:val="16"/>
          <w:szCs w:val="16"/>
        </w:rPr>
      </w:pPr>
    </w:p>
    <w:p w:rsidR="00171235" w:rsidRPr="00171235" w:rsidRDefault="00171235" w:rsidP="00171235">
      <w:pPr>
        <w:autoSpaceDE w:val="0"/>
        <w:autoSpaceDN w:val="0"/>
        <w:adjustRightInd w:val="0"/>
        <w:jc w:val="both"/>
        <w:rPr>
          <w:rFonts w:ascii="CalifornianFB" w:hAnsi="CalifornianFB" w:cs="CalifornianFB"/>
          <w:color w:val="474747"/>
        </w:rPr>
      </w:pPr>
      <w:r w:rsidRPr="00171235">
        <w:rPr>
          <w:rFonts w:ascii="CalifornianFB" w:hAnsi="CalifornianFB" w:cs="CalifornianFB"/>
          <w:color w:val="474747"/>
        </w:rPr>
        <w:t xml:space="preserve">L’importo non corrisposto è di circa 140 Euro lordi (RPD) / 70 Euro lordi (CIA) per ogni mese di servizio, importo negato dal Ministero dell’Istruzione ai docenti e agli </w:t>
      </w:r>
      <w:proofErr w:type="spellStart"/>
      <w:r w:rsidRPr="00171235">
        <w:rPr>
          <w:rFonts w:ascii="CalifornianFB" w:hAnsi="CalifornianFB" w:cs="CalifornianFB"/>
          <w:color w:val="474747"/>
        </w:rPr>
        <w:t>ata</w:t>
      </w:r>
      <w:proofErr w:type="spellEnd"/>
      <w:r w:rsidRPr="00171235">
        <w:rPr>
          <w:rFonts w:ascii="CalifornianFB" w:hAnsi="CalifornianFB" w:cs="CalifornianFB"/>
          <w:color w:val="474747"/>
        </w:rPr>
        <w:t xml:space="preserve"> che hanno stipulato, nel corso degli anni, contratti di lavoro per supplenze brevi e saltuarie in sostituzione di personale assente.</w:t>
      </w:r>
    </w:p>
    <w:p w:rsidR="00171235" w:rsidRPr="00D57473" w:rsidRDefault="00171235" w:rsidP="00171235">
      <w:pPr>
        <w:jc w:val="both"/>
        <w:rPr>
          <w:rFonts w:ascii="CalifornianFB" w:hAnsi="CalifornianFB" w:cs="CalifornianFB"/>
          <w:color w:val="474747"/>
          <w:sz w:val="16"/>
          <w:szCs w:val="16"/>
        </w:rPr>
      </w:pPr>
    </w:p>
    <w:p w:rsidR="00171235" w:rsidRPr="00171235" w:rsidRDefault="00171235" w:rsidP="00171235">
      <w:pPr>
        <w:autoSpaceDE w:val="0"/>
        <w:autoSpaceDN w:val="0"/>
        <w:adjustRightInd w:val="0"/>
        <w:jc w:val="both"/>
        <w:rPr>
          <w:rFonts w:ascii="CalifornianFB" w:hAnsi="CalifornianFB" w:cs="CalifornianFB"/>
          <w:color w:val="474747"/>
        </w:rPr>
      </w:pPr>
      <w:r w:rsidRPr="00171235">
        <w:rPr>
          <w:rFonts w:ascii="CalifornianFB" w:hAnsi="CalifornianFB" w:cs="CalifornianFB"/>
          <w:color w:val="474747"/>
        </w:rPr>
        <w:t>L’ordinanza della Corte di Cassazione emanata lo scorso 27 luglio specifica, inoltre, come “una diversa interpretazione finirebbe per porre la disciplina contrattuale in contrasto con la richiamata clausola 4, tanto più che la tesi del Ministero, secondo cui la RPD è incompatibile con le prestazioni di durata temporalmente limitata, contrasta con il chiaro tenore della disposizione che stabilisce le modalità di calcolo nell’ipotesi di “periodi di servizio inferiori al mese”.</w:t>
      </w:r>
    </w:p>
    <w:p w:rsidR="00171235" w:rsidRPr="00D57473" w:rsidRDefault="00171235" w:rsidP="00171235">
      <w:pPr>
        <w:autoSpaceDE w:val="0"/>
        <w:autoSpaceDN w:val="0"/>
        <w:adjustRightInd w:val="0"/>
        <w:jc w:val="both"/>
        <w:rPr>
          <w:rFonts w:ascii="CalifornianFB" w:hAnsi="CalifornianFB" w:cs="CalifornianFB"/>
          <w:color w:val="474747"/>
          <w:sz w:val="16"/>
          <w:szCs w:val="16"/>
        </w:rPr>
      </w:pPr>
    </w:p>
    <w:p w:rsidR="00171235" w:rsidRPr="00171235" w:rsidRDefault="00171235" w:rsidP="00171235">
      <w:pPr>
        <w:autoSpaceDE w:val="0"/>
        <w:autoSpaceDN w:val="0"/>
        <w:adjustRightInd w:val="0"/>
        <w:jc w:val="both"/>
        <w:rPr>
          <w:rFonts w:ascii="CalifornianFB" w:hAnsi="CalifornianFB" w:cs="CalifornianFB"/>
          <w:b/>
          <w:color w:val="474747"/>
          <w:u w:val="single"/>
        </w:rPr>
      </w:pPr>
      <w:r w:rsidRPr="00171235">
        <w:rPr>
          <w:rFonts w:ascii="CalifornianFB" w:hAnsi="CalifornianFB" w:cs="CalifornianFB"/>
          <w:color w:val="474747"/>
        </w:rPr>
        <w:t xml:space="preserve">I docenti e gli ATA (sia precari che attualmente in ruolo) potranno agire davanti ai Tribunali del lavoro al fine di ottenere il pagamento della Retribuzione Professionale Docente / Compenso Individuale Accessorio mai corrisposta/o e prevista/o dal CCNL. </w:t>
      </w:r>
      <w:r w:rsidRPr="00171235">
        <w:rPr>
          <w:rFonts w:ascii="CalifornianFB" w:hAnsi="CalifornianFB" w:cs="CalifornianFB"/>
          <w:b/>
          <w:color w:val="474747"/>
          <w:u w:val="single"/>
        </w:rPr>
        <w:t>Nel mese di giugno 2019 le prime sentenze positive del Tribunale di Bologna e nel mese di novembre 2020 un’ulteriore sentenza positiva del Tribunale di Reggio Emilia.</w:t>
      </w:r>
    </w:p>
    <w:p w:rsidR="00171235" w:rsidRPr="00171235" w:rsidRDefault="00171235" w:rsidP="00171235">
      <w:pPr>
        <w:autoSpaceDE w:val="0"/>
        <w:autoSpaceDN w:val="0"/>
        <w:adjustRightInd w:val="0"/>
        <w:jc w:val="both"/>
        <w:rPr>
          <w:rFonts w:ascii="CalifornianFB" w:hAnsi="CalifornianFB" w:cs="CalifornianFB"/>
          <w:b/>
          <w:color w:val="474747"/>
          <w:sz w:val="16"/>
          <w:szCs w:val="16"/>
          <w:u w:val="single"/>
        </w:rPr>
      </w:pPr>
      <w:r>
        <w:rPr>
          <w:noProof/>
          <w:sz w:val="24"/>
          <w:szCs w:val="24"/>
        </w:rPr>
        <mc:AlternateContent>
          <mc:Choice Requires="wps">
            <w:drawing>
              <wp:anchor distT="0" distB="0" distL="114300" distR="114300" simplePos="0" relativeHeight="251660288" behindDoc="0" locked="0" layoutInCell="1" allowOverlap="1" wp14:anchorId="47C75A4B" wp14:editId="45DFD91F">
                <wp:simplePos x="0" y="0"/>
                <wp:positionH relativeFrom="column">
                  <wp:posOffset>-320040</wp:posOffset>
                </wp:positionH>
                <wp:positionV relativeFrom="paragraph">
                  <wp:posOffset>18415</wp:posOffset>
                </wp:positionV>
                <wp:extent cx="6781800" cy="1552575"/>
                <wp:effectExtent l="38100" t="38100" r="342900" b="352425"/>
                <wp:wrapNone/>
                <wp:docPr id="8" name="Nastro perforato 8"/>
                <wp:cNvGraphicFramePr/>
                <a:graphic xmlns:a="http://schemas.openxmlformats.org/drawingml/2006/main">
                  <a:graphicData uri="http://schemas.microsoft.com/office/word/2010/wordprocessingShape">
                    <wps:wsp>
                      <wps:cNvSpPr/>
                      <wps:spPr>
                        <a:xfrm>
                          <a:off x="0" y="0"/>
                          <a:ext cx="6781800" cy="1552575"/>
                        </a:xfrm>
                        <a:prstGeom prst="flowChartPunchedTape">
                          <a:avLst/>
                        </a:prstGeom>
                        <a:solidFill>
                          <a:srgbClr val="0070C0"/>
                        </a:solidFill>
                        <a:ln>
                          <a:noFill/>
                        </a:ln>
                        <a:effectLst>
                          <a:outerShdw blurRad="190500" dist="228600" dir="2700000" algn="ctr">
                            <a:srgbClr val="000000">
                              <a:alpha val="30000"/>
                            </a:srgbClr>
                          </a:outerShdw>
                        </a:effectLst>
                        <a:scene3d>
                          <a:camera prst="orthographicFront">
                            <a:rot lat="0" lon="0" rev="0"/>
                          </a:camera>
                          <a:lightRig rig="glow" dir="t">
                            <a:rot lat="0" lon="0" rev="4800000"/>
                          </a:lightRig>
                        </a:scene3d>
                        <a:sp3d prstMaterial="matte">
                          <a:bevelT w="127000" h="63500"/>
                        </a:sp3d>
                      </wps:spPr>
                      <wps:style>
                        <a:lnRef idx="2">
                          <a:schemeClr val="accent1">
                            <a:shade val="50000"/>
                          </a:schemeClr>
                        </a:lnRef>
                        <a:fillRef idx="1">
                          <a:schemeClr val="accent1"/>
                        </a:fillRef>
                        <a:effectRef idx="0">
                          <a:schemeClr val="accent1"/>
                        </a:effectRef>
                        <a:fontRef idx="minor">
                          <a:schemeClr val="lt1"/>
                        </a:fontRef>
                      </wps:style>
                      <wps:txbx>
                        <w:txbxContent>
                          <w:p w:rsidR="00171235" w:rsidRPr="00171235" w:rsidRDefault="00171235" w:rsidP="00171235">
                            <w:pPr>
                              <w:jc w:val="center"/>
                              <w:rPr>
                                <w:rFonts w:ascii="Lucida Calligraphy" w:hAnsi="Lucida Calligraphy"/>
                                <w:sz w:val="24"/>
                                <w:szCs w:val="24"/>
                              </w:rPr>
                            </w:pPr>
                            <w:r w:rsidRPr="00171235">
                              <w:rPr>
                                <w:rFonts w:ascii="Lucida Calligraphy" w:hAnsi="Lucida Calligraphy"/>
                                <w:sz w:val="24"/>
                                <w:szCs w:val="24"/>
                              </w:rPr>
                              <w:t xml:space="preserve">CHI PUO’ </w:t>
                            </w:r>
                            <w:proofErr w:type="gramStart"/>
                            <w:r w:rsidRPr="00171235">
                              <w:rPr>
                                <w:rFonts w:ascii="Lucida Calligraphy" w:hAnsi="Lucida Calligraphy"/>
                                <w:sz w:val="24"/>
                                <w:szCs w:val="24"/>
                              </w:rPr>
                              <w:t>PARTECIPARE ?</w:t>
                            </w:r>
                            <w:proofErr w:type="gramEnd"/>
                          </w:p>
                          <w:p w:rsidR="00171235" w:rsidRPr="00171235" w:rsidRDefault="00171235" w:rsidP="00171235">
                            <w:pPr>
                              <w:jc w:val="center"/>
                              <w:rPr>
                                <w:rFonts w:ascii="Lucida Calligraphy" w:hAnsi="Lucida Calligraphy"/>
                                <w:sz w:val="22"/>
                                <w:szCs w:val="22"/>
                              </w:rPr>
                            </w:pPr>
                            <w:r w:rsidRPr="00171235">
                              <w:rPr>
                                <w:rFonts w:ascii="Lucida Calligraphy" w:hAnsi="Lucida Calligraphy"/>
                                <w:sz w:val="22"/>
                                <w:szCs w:val="22"/>
                              </w:rPr>
                              <w:t xml:space="preserve">Al ricorso possono partecipare tutti i docenti e gli ATA (attualmente precari o di ruolo) che negli ultimi 5 anni hanno sottoscritto contratti a tempo determinato per supplenze brevi e saltuarie in sostituzione di personale assente. </w:t>
                            </w:r>
                          </w:p>
                          <w:p w:rsidR="00171235" w:rsidRDefault="00171235" w:rsidP="0017123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C75A4B"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Nastro perforato 8" o:spid="_x0000_s1027" type="#_x0000_t122" style="position:absolute;left:0;text-align:left;margin-left:-25.2pt;margin-top:1.45pt;width:534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" fillcolor="#0070c0" stroked="f" strokeweight="2pt">
                <v:shadow on="t" color="black" opacity="19660f" offset="4.49014mm,4.49014mm"/>
                <v:textbox>
                  <w:txbxContent>
                    <w:p w:rsidR="00171235" w:rsidRPr="00171235" w:rsidRDefault="00171235" w:rsidP="00171235">
                      <w:pPr>
                        <w:jc w:val="center"/>
                        <w:rPr>
                          <w:rFonts w:ascii="Lucida Calligraphy" w:hAnsi="Lucida Calligraphy"/>
                          <w:sz w:val="24"/>
                          <w:szCs w:val="24"/>
                        </w:rPr>
                      </w:pPr>
                      <w:r w:rsidRPr="00171235">
                        <w:rPr>
                          <w:rFonts w:ascii="Lucida Calligraphy" w:hAnsi="Lucida Calligraphy"/>
                          <w:sz w:val="24"/>
                          <w:szCs w:val="24"/>
                        </w:rPr>
                        <w:t xml:space="preserve">CHI PUO’ </w:t>
                      </w:r>
                      <w:proofErr w:type="gramStart"/>
                      <w:r w:rsidRPr="00171235">
                        <w:rPr>
                          <w:rFonts w:ascii="Lucida Calligraphy" w:hAnsi="Lucida Calligraphy"/>
                          <w:sz w:val="24"/>
                          <w:szCs w:val="24"/>
                        </w:rPr>
                        <w:t>PARTECIPARE ?</w:t>
                      </w:r>
                      <w:proofErr w:type="gramEnd"/>
                    </w:p>
                    <w:p w:rsidR="00171235" w:rsidRPr="00171235" w:rsidRDefault="00171235" w:rsidP="00171235">
                      <w:pPr>
                        <w:jc w:val="center"/>
                        <w:rPr>
                          <w:rFonts w:ascii="Lucida Calligraphy" w:hAnsi="Lucida Calligraphy"/>
                          <w:sz w:val="22"/>
                          <w:szCs w:val="22"/>
                        </w:rPr>
                      </w:pPr>
                      <w:r w:rsidRPr="00171235">
                        <w:rPr>
                          <w:rFonts w:ascii="Lucida Calligraphy" w:hAnsi="Lucida Calligraphy"/>
                          <w:sz w:val="22"/>
                          <w:szCs w:val="22"/>
                        </w:rPr>
                        <w:t xml:space="preserve">Al ricorso possono partecipare tutti i docenti e gli ATA (attualmente precari o di ruolo) che negli ultimi 5 anni hanno sottoscritto contratti a tempo determinato per supplenze brevi e saltuarie in sostituzione di personale assente. </w:t>
                      </w:r>
                    </w:p>
                    <w:p w:rsidR="00171235" w:rsidRDefault="00171235" w:rsidP="00171235">
                      <w:pPr>
                        <w:jc w:val="center"/>
                      </w:pPr>
                    </w:p>
                  </w:txbxContent>
                </v:textbox>
              </v:shape>
            </w:pict>
          </mc:Fallback>
        </mc:AlternateContent>
      </w:r>
    </w:p>
    <w:p w:rsidR="00171235" w:rsidRDefault="00171235" w:rsidP="00171235">
      <w:pPr>
        <w:autoSpaceDE w:val="0"/>
        <w:autoSpaceDN w:val="0"/>
        <w:adjustRightInd w:val="0"/>
        <w:jc w:val="both"/>
        <w:rPr>
          <w:rFonts w:ascii="CalifornianFB" w:hAnsi="CalifornianFB" w:cs="CalifornianFB"/>
          <w:b/>
          <w:color w:val="474747"/>
          <w:sz w:val="22"/>
          <w:szCs w:val="22"/>
          <w:u w:val="single"/>
        </w:rPr>
      </w:pPr>
    </w:p>
    <w:p w:rsidR="00171235" w:rsidRDefault="00171235" w:rsidP="00171235">
      <w:pPr>
        <w:autoSpaceDE w:val="0"/>
        <w:autoSpaceDN w:val="0"/>
        <w:adjustRightInd w:val="0"/>
        <w:jc w:val="both"/>
        <w:rPr>
          <w:rFonts w:ascii="CalifornianFB" w:hAnsi="CalifornianFB" w:cs="CalifornianFB"/>
          <w:b/>
          <w:color w:val="474747"/>
          <w:sz w:val="22"/>
          <w:szCs w:val="22"/>
          <w:u w:val="single"/>
        </w:rPr>
      </w:pPr>
    </w:p>
    <w:p w:rsidR="00171235" w:rsidRDefault="00171235" w:rsidP="00171235">
      <w:pPr>
        <w:autoSpaceDE w:val="0"/>
        <w:autoSpaceDN w:val="0"/>
        <w:adjustRightInd w:val="0"/>
        <w:jc w:val="both"/>
        <w:rPr>
          <w:rFonts w:ascii="CalifornianFB" w:hAnsi="CalifornianFB" w:cs="CalifornianFB"/>
          <w:b/>
          <w:color w:val="474747"/>
          <w:sz w:val="22"/>
          <w:szCs w:val="22"/>
          <w:u w:val="single"/>
        </w:rPr>
      </w:pPr>
    </w:p>
    <w:p w:rsidR="00171235" w:rsidRDefault="00171235" w:rsidP="00171235">
      <w:pPr>
        <w:autoSpaceDE w:val="0"/>
        <w:autoSpaceDN w:val="0"/>
        <w:adjustRightInd w:val="0"/>
        <w:jc w:val="both"/>
        <w:rPr>
          <w:rFonts w:ascii="CalifornianFB" w:hAnsi="CalifornianFB" w:cs="CalifornianFB"/>
          <w:b/>
          <w:color w:val="474747"/>
          <w:sz w:val="22"/>
          <w:szCs w:val="22"/>
          <w:u w:val="single"/>
        </w:rPr>
      </w:pPr>
    </w:p>
    <w:p w:rsidR="00171235" w:rsidRDefault="00171235" w:rsidP="00171235">
      <w:pPr>
        <w:autoSpaceDE w:val="0"/>
        <w:autoSpaceDN w:val="0"/>
        <w:adjustRightInd w:val="0"/>
        <w:jc w:val="both"/>
        <w:rPr>
          <w:rFonts w:ascii="CalifornianFB" w:hAnsi="CalifornianFB" w:cs="CalifornianFB"/>
          <w:b/>
          <w:color w:val="474747"/>
          <w:sz w:val="22"/>
          <w:szCs w:val="22"/>
          <w:u w:val="single"/>
        </w:rPr>
      </w:pPr>
    </w:p>
    <w:p w:rsidR="00171235" w:rsidRPr="007B3640" w:rsidRDefault="00171235" w:rsidP="00171235">
      <w:pPr>
        <w:autoSpaceDE w:val="0"/>
        <w:autoSpaceDN w:val="0"/>
        <w:adjustRightInd w:val="0"/>
        <w:jc w:val="both"/>
        <w:rPr>
          <w:sz w:val="24"/>
          <w:szCs w:val="24"/>
        </w:rPr>
      </w:pPr>
    </w:p>
    <w:p w:rsidR="00171235" w:rsidRPr="00105EE7" w:rsidRDefault="00171235" w:rsidP="00171235">
      <w:pPr>
        <w:shd w:val="clear" w:color="auto" w:fill="FFFFFF"/>
        <w:textAlignment w:val="baseline"/>
        <w:rPr>
          <w:rFonts w:ascii="Book Antiqua" w:hAnsi="Book Antiqua" w:cs="Arial"/>
          <w:color w:val="000000"/>
          <w:sz w:val="16"/>
          <w:szCs w:val="16"/>
        </w:rPr>
      </w:pPr>
    </w:p>
    <w:p w:rsidR="00171235" w:rsidRDefault="00171235" w:rsidP="00171235"/>
    <w:p w:rsidR="00171235" w:rsidRDefault="00171235" w:rsidP="00171235"/>
    <w:p w:rsidR="00171235" w:rsidRPr="00171235" w:rsidRDefault="00171235">
      <w:pPr>
        <w:rPr>
          <w:sz w:val="16"/>
          <w:szCs w:val="16"/>
        </w:rPr>
      </w:pPr>
    </w:p>
    <w:p w:rsidR="00D57473" w:rsidRDefault="00D57473">
      <w:pPr>
        <w:rPr>
          <w:rFonts w:ascii="CenturySchoolbook,Bold" w:hAnsi="CenturySchoolbook,Bold" w:cs="CenturySchoolbook,Bold"/>
          <w:b/>
          <w:bCs/>
          <w:color w:val="373737"/>
          <w:sz w:val="24"/>
          <w:szCs w:val="24"/>
        </w:rPr>
      </w:pPr>
    </w:p>
    <w:p w:rsidR="00171235" w:rsidRPr="00D57473" w:rsidRDefault="00171235">
      <w:pPr>
        <w:rPr>
          <w:sz w:val="22"/>
          <w:szCs w:val="22"/>
        </w:rPr>
      </w:pPr>
      <w:r w:rsidRPr="00D57473">
        <w:rPr>
          <w:rFonts w:ascii="CenturySchoolbook,Bold" w:hAnsi="CenturySchoolbook,Bold" w:cs="CenturySchoolbook,Bold"/>
          <w:b/>
          <w:bCs/>
          <w:color w:val="373737"/>
          <w:sz w:val="22"/>
          <w:szCs w:val="22"/>
        </w:rPr>
        <w:t>I documenti necessari per procedere con il ricorso:</w:t>
      </w:r>
    </w:p>
    <w:p w:rsidR="00171235" w:rsidRPr="00D57473" w:rsidRDefault="00171235" w:rsidP="00171235">
      <w:pPr>
        <w:pStyle w:val="Paragrafoelenco"/>
        <w:numPr>
          <w:ilvl w:val="0"/>
          <w:numId w:val="2"/>
        </w:numPr>
        <w:autoSpaceDE w:val="0"/>
        <w:autoSpaceDN w:val="0"/>
        <w:adjustRightInd w:val="0"/>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Copia di un documento di riconoscimento;</w:t>
      </w:r>
    </w:p>
    <w:p w:rsidR="00171235" w:rsidRPr="00D57473" w:rsidRDefault="00171235" w:rsidP="00171235">
      <w:pPr>
        <w:pStyle w:val="Paragrafoelenco"/>
        <w:numPr>
          <w:ilvl w:val="0"/>
          <w:numId w:val="2"/>
        </w:numPr>
        <w:autoSpaceDE w:val="0"/>
        <w:autoSpaceDN w:val="0"/>
        <w:adjustRightInd w:val="0"/>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 xml:space="preserve">Mandato alle liti </w:t>
      </w:r>
      <w:r w:rsidRPr="006768A4">
        <w:rPr>
          <w:rFonts w:ascii="CenturySchoolbook" w:hAnsi="CenturySchoolbook" w:cs="CenturySchoolbook"/>
          <w:color w:val="373737"/>
          <w:sz w:val="22"/>
          <w:szCs w:val="22"/>
        </w:rPr>
        <w:t>*</w:t>
      </w:r>
      <w:r w:rsidRPr="00D57473">
        <w:rPr>
          <w:rFonts w:ascii="CenturySchoolbook" w:hAnsi="CenturySchoolbook" w:cs="CenturySchoolbook"/>
          <w:color w:val="373737"/>
          <w:sz w:val="18"/>
          <w:szCs w:val="18"/>
        </w:rPr>
        <w:t>;</w:t>
      </w:r>
    </w:p>
    <w:p w:rsidR="00171235" w:rsidRPr="00D57473" w:rsidRDefault="00171235" w:rsidP="00171235">
      <w:pPr>
        <w:pStyle w:val="Paragrafoelenco"/>
        <w:numPr>
          <w:ilvl w:val="0"/>
          <w:numId w:val="2"/>
        </w:numPr>
        <w:shd w:val="clear" w:color="auto" w:fill="FFFFFF"/>
        <w:jc w:val="both"/>
        <w:textAlignment w:val="baseline"/>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 xml:space="preserve">Privacy </w:t>
      </w:r>
      <w:r w:rsidRPr="006768A4">
        <w:rPr>
          <w:rFonts w:ascii="CenturySchoolbook" w:hAnsi="CenturySchoolbook" w:cs="CenturySchoolbook"/>
          <w:color w:val="373737"/>
          <w:sz w:val="22"/>
          <w:szCs w:val="22"/>
        </w:rPr>
        <w:t>*</w:t>
      </w:r>
      <w:r w:rsidRPr="00D57473">
        <w:rPr>
          <w:rFonts w:ascii="CenturySchoolbook" w:hAnsi="CenturySchoolbook" w:cs="CenturySchoolbook"/>
          <w:color w:val="373737"/>
          <w:sz w:val="18"/>
          <w:szCs w:val="18"/>
        </w:rPr>
        <w:t>;</w:t>
      </w:r>
    </w:p>
    <w:p w:rsidR="00171235" w:rsidRPr="00D57473" w:rsidRDefault="00171235" w:rsidP="00171235">
      <w:pPr>
        <w:pStyle w:val="Paragrafoelenco"/>
        <w:numPr>
          <w:ilvl w:val="0"/>
          <w:numId w:val="2"/>
        </w:numPr>
        <w:autoSpaceDE w:val="0"/>
        <w:autoSpaceDN w:val="0"/>
        <w:adjustRightInd w:val="0"/>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Dichiarazione di esenzione per il pagamento del contributo</w:t>
      </w:r>
    </w:p>
    <w:p w:rsidR="00171235" w:rsidRPr="00D57473" w:rsidRDefault="00171235" w:rsidP="00171235">
      <w:pPr>
        <w:autoSpaceDE w:val="0"/>
        <w:autoSpaceDN w:val="0"/>
        <w:adjustRightInd w:val="0"/>
        <w:ind w:left="708"/>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 xml:space="preserve">unificato </w:t>
      </w:r>
      <w:r w:rsidRPr="006768A4">
        <w:rPr>
          <w:rFonts w:ascii="CenturySchoolbook" w:hAnsi="CenturySchoolbook" w:cs="CenturySchoolbook"/>
          <w:color w:val="373737"/>
          <w:sz w:val="22"/>
          <w:szCs w:val="22"/>
        </w:rPr>
        <w:t>*</w:t>
      </w:r>
      <w:r w:rsidRPr="00D57473">
        <w:rPr>
          <w:rFonts w:ascii="CenturySchoolbook" w:hAnsi="CenturySchoolbook" w:cs="CenturySchoolbook"/>
          <w:color w:val="373737"/>
          <w:sz w:val="18"/>
          <w:szCs w:val="18"/>
        </w:rPr>
        <w:t xml:space="preserve"> N.B. </w:t>
      </w:r>
      <w:r w:rsidRPr="00D57473">
        <w:rPr>
          <w:rFonts w:ascii="CenturySchoolbook,Italic" w:hAnsi="CenturySchoolbook,Italic" w:cs="CenturySchoolbook,Italic"/>
          <w:i/>
          <w:iCs/>
          <w:color w:val="373737"/>
          <w:sz w:val="18"/>
          <w:szCs w:val="18"/>
        </w:rPr>
        <w:t>in caso si superi il reddito la dichiarazione dovrà essere sbarrata e non compilata</w:t>
      </w:r>
      <w:r w:rsidRPr="00D57473">
        <w:rPr>
          <w:rFonts w:ascii="CenturySchoolbook" w:hAnsi="CenturySchoolbook" w:cs="CenturySchoolbook"/>
          <w:color w:val="373737"/>
          <w:sz w:val="18"/>
          <w:szCs w:val="18"/>
        </w:rPr>
        <w:t>;</w:t>
      </w:r>
    </w:p>
    <w:p w:rsidR="00171235" w:rsidRPr="00D57473" w:rsidRDefault="00171235" w:rsidP="00171235">
      <w:pPr>
        <w:pStyle w:val="Paragrafoelenco"/>
        <w:numPr>
          <w:ilvl w:val="0"/>
          <w:numId w:val="2"/>
        </w:numPr>
        <w:autoSpaceDE w:val="0"/>
        <w:autoSpaceDN w:val="0"/>
        <w:adjustRightInd w:val="0"/>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Dichiarazione dei contratti di lavoro a tempo determinato;</w:t>
      </w:r>
    </w:p>
    <w:p w:rsidR="00171235" w:rsidRPr="00D57473" w:rsidRDefault="00171235" w:rsidP="00171235">
      <w:pPr>
        <w:pStyle w:val="Paragrafoelenco"/>
        <w:numPr>
          <w:ilvl w:val="0"/>
          <w:numId w:val="2"/>
        </w:numPr>
        <w:autoSpaceDE w:val="0"/>
        <w:autoSpaceDN w:val="0"/>
        <w:adjustRightInd w:val="0"/>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Copia dei diversi contratti sottoscritti:</w:t>
      </w:r>
    </w:p>
    <w:p w:rsidR="00171235" w:rsidRPr="00D57473" w:rsidRDefault="00171235" w:rsidP="00171235">
      <w:pPr>
        <w:pStyle w:val="Paragrafoelenco"/>
        <w:numPr>
          <w:ilvl w:val="0"/>
          <w:numId w:val="2"/>
        </w:numPr>
        <w:autoSpaceDE w:val="0"/>
        <w:autoSpaceDN w:val="0"/>
        <w:adjustRightInd w:val="0"/>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Tutte le buste paga relative ai contratti per supplenze brevi svolte;</w:t>
      </w:r>
    </w:p>
    <w:p w:rsidR="00171235" w:rsidRPr="00D57473" w:rsidRDefault="00171235" w:rsidP="00171235">
      <w:pPr>
        <w:pStyle w:val="Paragrafoelenco"/>
        <w:numPr>
          <w:ilvl w:val="0"/>
          <w:numId w:val="2"/>
        </w:numPr>
        <w:autoSpaceDE w:val="0"/>
        <w:autoSpaceDN w:val="0"/>
        <w:adjustRightInd w:val="0"/>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 xml:space="preserve">Contratto professionale </w:t>
      </w:r>
      <w:r w:rsidRPr="006768A4">
        <w:rPr>
          <w:rFonts w:ascii="CenturySchoolbook" w:hAnsi="CenturySchoolbook" w:cs="CenturySchoolbook"/>
          <w:color w:val="373737"/>
          <w:sz w:val="22"/>
          <w:szCs w:val="22"/>
        </w:rPr>
        <w:t>*</w:t>
      </w:r>
      <w:r w:rsidRPr="00D57473">
        <w:rPr>
          <w:rFonts w:ascii="CenturySchoolbook" w:hAnsi="CenturySchoolbook" w:cs="CenturySchoolbook"/>
          <w:color w:val="373737"/>
          <w:sz w:val="18"/>
          <w:szCs w:val="18"/>
        </w:rPr>
        <w:t>;</w:t>
      </w:r>
    </w:p>
    <w:p w:rsidR="00171235" w:rsidRPr="00D57473" w:rsidRDefault="00171235" w:rsidP="00171235">
      <w:pPr>
        <w:pStyle w:val="Paragrafoelenco"/>
        <w:numPr>
          <w:ilvl w:val="0"/>
          <w:numId w:val="2"/>
        </w:numPr>
        <w:autoSpaceDE w:val="0"/>
        <w:autoSpaceDN w:val="0"/>
        <w:adjustRightInd w:val="0"/>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Dichiarazione personale contenente i seguenti dati:</w:t>
      </w:r>
    </w:p>
    <w:p w:rsidR="00171235" w:rsidRPr="00D57473" w:rsidRDefault="00171235" w:rsidP="00171235">
      <w:pPr>
        <w:shd w:val="clear" w:color="auto" w:fill="FFFFFF"/>
        <w:ind w:left="1416"/>
        <w:jc w:val="both"/>
        <w:textAlignment w:val="baseline"/>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a) Attuale sede di servizio ovvero ultima sede di servizio;</w:t>
      </w:r>
    </w:p>
    <w:p w:rsidR="00171235" w:rsidRPr="00D57473" w:rsidRDefault="00171235" w:rsidP="00171235">
      <w:pPr>
        <w:pStyle w:val="Paragrafoelenco"/>
        <w:numPr>
          <w:ilvl w:val="0"/>
          <w:numId w:val="2"/>
        </w:numPr>
        <w:autoSpaceDE w:val="0"/>
        <w:autoSpaceDN w:val="0"/>
        <w:adjustRightInd w:val="0"/>
        <w:rPr>
          <w:rFonts w:ascii="CenturySchoolbook" w:hAnsi="CenturySchoolbook" w:cs="CenturySchoolbook"/>
          <w:color w:val="373737"/>
          <w:sz w:val="18"/>
          <w:szCs w:val="18"/>
        </w:rPr>
      </w:pPr>
      <w:r w:rsidRPr="00D57473">
        <w:rPr>
          <w:rFonts w:ascii="CenturySchoolbook" w:hAnsi="CenturySchoolbook" w:cs="CenturySchoolbook"/>
          <w:color w:val="373737"/>
          <w:sz w:val="18"/>
          <w:szCs w:val="18"/>
        </w:rPr>
        <w:t xml:space="preserve">Atto di diffida </w:t>
      </w:r>
      <w:r w:rsidRPr="006768A4">
        <w:rPr>
          <w:rFonts w:ascii="CenturySchoolbook" w:hAnsi="CenturySchoolbook" w:cs="CenturySchoolbook"/>
          <w:color w:val="373737"/>
          <w:sz w:val="22"/>
          <w:szCs w:val="22"/>
        </w:rPr>
        <w:t>*</w:t>
      </w:r>
      <w:r w:rsidRPr="00D57473">
        <w:rPr>
          <w:rFonts w:ascii="CenturySchoolbook" w:hAnsi="CenturySchoolbook" w:cs="CenturySchoolbook"/>
          <w:color w:val="373737"/>
          <w:sz w:val="18"/>
          <w:szCs w:val="18"/>
        </w:rPr>
        <w:t>.</w:t>
      </w:r>
    </w:p>
    <w:p w:rsidR="00171235" w:rsidRPr="00D57473" w:rsidRDefault="00171235" w:rsidP="00171235">
      <w:pPr>
        <w:autoSpaceDE w:val="0"/>
        <w:autoSpaceDN w:val="0"/>
        <w:adjustRightInd w:val="0"/>
        <w:rPr>
          <w:rFonts w:ascii="CenturySchoolbook" w:hAnsi="CenturySchoolbook" w:cs="CenturySchoolbook"/>
          <w:color w:val="373737"/>
          <w:sz w:val="18"/>
          <w:szCs w:val="18"/>
        </w:rPr>
      </w:pPr>
    </w:p>
    <w:p w:rsidR="00D57473" w:rsidRDefault="00171235" w:rsidP="00D57473">
      <w:pPr>
        <w:autoSpaceDE w:val="0"/>
        <w:autoSpaceDN w:val="0"/>
        <w:adjustRightInd w:val="0"/>
        <w:rPr>
          <w:rFonts w:ascii="CenturySchoolbook" w:hAnsi="CenturySchoolbook" w:cs="CenturySchoolbook"/>
          <w:color w:val="373737"/>
        </w:rPr>
      </w:pPr>
      <w:r w:rsidRPr="00D57473">
        <w:rPr>
          <w:rFonts w:ascii="CenturySchoolbook" w:hAnsi="CenturySchoolbook" w:cs="CenturySchoolbook"/>
          <w:color w:val="373737"/>
          <w:sz w:val="18"/>
          <w:szCs w:val="18"/>
        </w:rPr>
        <w:t xml:space="preserve">I documenti contrassegnati con </w:t>
      </w:r>
      <w:r w:rsidRPr="006768A4">
        <w:rPr>
          <w:rFonts w:ascii="CenturySchoolbook" w:hAnsi="CenturySchoolbook" w:cs="CenturySchoolbook"/>
          <w:color w:val="373737"/>
        </w:rPr>
        <w:t>*</w:t>
      </w:r>
      <w:r w:rsidRPr="00D57473">
        <w:rPr>
          <w:rFonts w:ascii="CenturySchoolbook" w:hAnsi="CenturySchoolbook" w:cs="CenturySchoolbook"/>
          <w:color w:val="373737"/>
          <w:sz w:val="18"/>
          <w:szCs w:val="18"/>
        </w:rPr>
        <w:t xml:space="preserve"> saranno inviati ai ricorrenti dalla scrivente Segreteria territoriale.</w:t>
      </w:r>
    </w:p>
    <w:p w:rsidR="00171235" w:rsidRDefault="00D57473" w:rsidP="006768A4">
      <w:pPr>
        <w:autoSpaceDE w:val="0"/>
        <w:autoSpaceDN w:val="0"/>
        <w:adjustRightInd w:val="0"/>
      </w:pPr>
      <w:r w:rsidRPr="00D57473">
        <w:rPr>
          <w:rFonts w:ascii="Lucida Calligraphy" w:hAnsi="Lucida Calligraphy"/>
          <w:b/>
        </w:rPr>
        <w:t xml:space="preserve">Per informazioni: Serafino 3282258300 – Marco 3479688040 – Emidio 3383858144 – Franco </w:t>
      </w:r>
      <w:r w:rsidR="00254567">
        <w:rPr>
          <w:rFonts w:ascii="Lucida Calligraphy" w:hAnsi="Lucida Calligraphy"/>
          <w:b/>
        </w:rPr>
        <w:t>3917658553</w:t>
      </w:r>
    </w:p>
    <w:sectPr w:rsidR="0017123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lifornianFB">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Schoolbook,Bold">
    <w:panose1 w:val="00000000000000000000"/>
    <w:charset w:val="00"/>
    <w:family w:val="auto"/>
    <w:notTrueType/>
    <w:pitch w:val="default"/>
    <w:sig w:usb0="00000003" w:usb1="00000000" w:usb2="00000000" w:usb3="00000000" w:csb0="00000001" w:csb1="00000000"/>
  </w:font>
  <w:font w:name="CenturySchoolbook">
    <w:panose1 w:val="00000000000000000000"/>
    <w:charset w:val="00"/>
    <w:family w:val="auto"/>
    <w:notTrueType/>
    <w:pitch w:val="default"/>
    <w:sig w:usb0="00000003" w:usb1="00000000" w:usb2="00000000" w:usb3="00000000" w:csb0="00000001" w:csb1="00000000"/>
  </w:font>
  <w:font w:name="CenturySchoolbook,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C36DA"/>
    <w:multiLevelType w:val="hybridMultilevel"/>
    <w:tmpl w:val="EBC8D648"/>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490B64"/>
    <w:multiLevelType w:val="hybridMultilevel"/>
    <w:tmpl w:val="554E1F9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626E5131"/>
    <w:multiLevelType w:val="hybridMultilevel"/>
    <w:tmpl w:val="52B42ED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634F2A1D"/>
    <w:multiLevelType w:val="hybridMultilevel"/>
    <w:tmpl w:val="AD52C5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235"/>
    <w:rsid w:val="00171235"/>
    <w:rsid w:val="00254567"/>
    <w:rsid w:val="006768A4"/>
    <w:rsid w:val="00BF00BD"/>
    <w:rsid w:val="00CE7AFB"/>
    <w:rsid w:val="00D574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2E799-F0CD-4654-890E-C0BC56B50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71235"/>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171235"/>
    <w:pPr>
      <w:keepNext/>
      <w:outlineLvl w:val="1"/>
    </w:pPr>
    <w:rPr>
      <w:b/>
      <w:snapToGrid w:val="0"/>
      <w:sz w:val="28"/>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171235"/>
    <w:rPr>
      <w:rFonts w:ascii="Times New Roman" w:eastAsia="Times New Roman" w:hAnsi="Times New Roman" w:cs="Times New Roman"/>
      <w:b/>
      <w:snapToGrid w:val="0"/>
      <w:sz w:val="28"/>
      <w:szCs w:val="20"/>
      <w:lang w:val="x-none" w:eastAsia="x-none"/>
    </w:rPr>
  </w:style>
  <w:style w:type="paragraph" w:styleId="Testofumetto">
    <w:name w:val="Balloon Text"/>
    <w:basedOn w:val="Normale"/>
    <w:link w:val="TestofumettoCarattere"/>
    <w:uiPriority w:val="99"/>
    <w:semiHidden/>
    <w:unhideWhenUsed/>
    <w:rsid w:val="00171235"/>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71235"/>
    <w:rPr>
      <w:rFonts w:ascii="Tahoma" w:eastAsia="Times New Roman" w:hAnsi="Tahoma" w:cs="Tahoma"/>
      <w:sz w:val="16"/>
      <w:szCs w:val="16"/>
      <w:lang w:eastAsia="it-IT"/>
    </w:rPr>
  </w:style>
  <w:style w:type="paragraph" w:styleId="Paragrafoelenco">
    <w:name w:val="List Paragraph"/>
    <w:basedOn w:val="Normale"/>
    <w:uiPriority w:val="34"/>
    <w:qFormat/>
    <w:rsid w:val="0017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375</Words>
  <Characters>2141</Characters>
  <Application>Microsoft Office Word</Application>
  <DocSecurity>0</DocSecurity>
  <Lines>17</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casa</dc:creator>
  <cp:lastModifiedBy>Lenovo</cp:lastModifiedBy>
  <cp:revision>2</cp:revision>
  <dcterms:created xsi:type="dcterms:W3CDTF">2020-12-13T17:22:00Z</dcterms:created>
  <dcterms:modified xsi:type="dcterms:W3CDTF">2020-12-13T17:22:00Z</dcterms:modified>
</cp:coreProperties>
</file>